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4859" w:wrap="around" w:vAnchor="margin" w:hAnchor="text" w:x="5310" w:y="559"/>
        <w:widowControl w:val="0"/>
        <w:autoSpaceDE w:val="0"/>
        <w:autoSpaceDN w:val="0"/>
        <w:spacing w:line="317" w:lineRule="exact"/>
        <w:ind w:left="70"/>
        <w:rPr>
          <w:rFonts w:hint="eastAsia" w:ascii="微软雅黑" w:hAnsi="微软雅黑" w:eastAsia="微软雅黑" w:cs="微软雅黑"/>
          <w:color w:val="000000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b/>
          <w:color w:val="0000FF"/>
          <w:szCs w:val="22"/>
          <w:lang w:val="en-US" w:eastAsia="en-US" w:bidi="ar-SA"/>
        </w:rPr>
        <w:t>阿帕奇（北京）光纤激光技术有限公司</w:t>
      </w:r>
    </w:p>
    <w:p>
      <w:pPr>
        <w:framePr w:w="4859" w:wrap="around" w:vAnchor="margin" w:hAnchor="text" w:x="5310" w:y="559"/>
        <w:widowControl w:val="0"/>
        <w:autoSpaceDE w:val="0"/>
        <w:autoSpaceDN w:val="0"/>
        <w:spacing w:before="40" w:line="236" w:lineRule="exact"/>
        <w:rPr>
          <w:rFonts w:hint="eastAsia" w:ascii="微软雅黑" w:hAnsi="微软雅黑" w:eastAsia="微软雅黑" w:cs="微软雅黑"/>
          <w:color w:val="000000"/>
          <w:sz w:val="21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FF"/>
          <w:sz w:val="21"/>
          <w:szCs w:val="22"/>
          <w:lang w:val="en-US" w:eastAsia="en-US" w:bidi="ar-SA"/>
        </w:rPr>
        <w:t>IPG</w:t>
      </w:r>
      <w:r>
        <w:rPr>
          <w:rFonts w:hint="eastAsia" w:ascii="微软雅黑" w:hAnsi="微软雅黑" w:eastAsia="微软雅黑" w:cs="微软雅黑"/>
          <w:color w:val="0000FF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pacing w:val="1"/>
          <w:sz w:val="21"/>
          <w:szCs w:val="22"/>
          <w:lang w:val="en-US" w:eastAsia="en-US" w:bidi="ar-SA"/>
        </w:rPr>
        <w:t>(Beijing)</w:t>
      </w:r>
      <w:r>
        <w:rPr>
          <w:rFonts w:hint="eastAsia" w:ascii="微软雅黑" w:hAnsi="微软雅黑" w:eastAsia="微软雅黑" w:cs="微软雅黑"/>
          <w:color w:val="0000FF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21"/>
          <w:szCs w:val="22"/>
          <w:lang w:val="en-US" w:eastAsia="en-US" w:bidi="ar-SA"/>
        </w:rPr>
        <w:t>Fiber</w:t>
      </w:r>
      <w:r>
        <w:rPr>
          <w:rFonts w:hint="eastAsia" w:ascii="微软雅黑" w:hAnsi="微软雅黑" w:eastAsia="微软雅黑" w:cs="微软雅黑"/>
          <w:color w:val="0000FF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21"/>
          <w:szCs w:val="22"/>
          <w:lang w:val="en-US" w:eastAsia="en-US" w:bidi="ar-SA"/>
        </w:rPr>
        <w:t>Laser</w:t>
      </w:r>
      <w:r>
        <w:rPr>
          <w:rFonts w:hint="eastAsia" w:ascii="微软雅黑" w:hAnsi="微软雅黑" w:eastAsia="微软雅黑" w:cs="微软雅黑"/>
          <w:color w:val="0000FF"/>
          <w:spacing w:val="-6"/>
          <w:sz w:val="21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pacing w:val="-2"/>
          <w:sz w:val="21"/>
          <w:szCs w:val="22"/>
          <w:lang w:val="en-US" w:eastAsia="en-US" w:bidi="ar-SA"/>
        </w:rPr>
        <w:t>Technology</w:t>
      </w:r>
      <w:r>
        <w:rPr>
          <w:rFonts w:hint="eastAsia" w:ascii="微软雅黑" w:hAnsi="微软雅黑" w:eastAsia="微软雅黑" w:cs="微软雅黑"/>
          <w:color w:val="0000FF"/>
          <w:sz w:val="21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pacing w:val="1"/>
          <w:sz w:val="21"/>
          <w:szCs w:val="22"/>
          <w:lang w:val="en-US" w:eastAsia="en-US" w:bidi="ar-SA"/>
        </w:rPr>
        <w:t>Co.,</w:t>
      </w:r>
      <w:r>
        <w:rPr>
          <w:rFonts w:hint="eastAsia" w:ascii="微软雅黑" w:hAnsi="微软雅黑" w:eastAsia="微软雅黑" w:cs="微软雅黑"/>
          <w:color w:val="0000FF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21"/>
          <w:szCs w:val="22"/>
          <w:lang w:val="en-US" w:eastAsia="en-US" w:bidi="ar-SA"/>
        </w:rPr>
        <w:t>Ltd</w:t>
      </w:r>
    </w:p>
    <w:p>
      <w:pPr>
        <w:framePr w:w="3710" w:wrap="around" w:vAnchor="margin" w:hAnchor="text" w:x="4340" w:y="1457"/>
        <w:widowControl w:val="0"/>
        <w:autoSpaceDE w:val="0"/>
        <w:autoSpaceDN w:val="0"/>
        <w:spacing w:line="371" w:lineRule="exact"/>
        <w:rPr>
          <w:rFonts w:hint="eastAsia" w:ascii="微软雅黑" w:hAnsi="微软雅黑" w:eastAsia="微软雅黑" w:cs="微软雅黑"/>
          <w:color w:val="000000"/>
          <w:sz w:val="2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b/>
          <w:color w:val="0000FF"/>
          <w:spacing w:val="1"/>
          <w:sz w:val="28"/>
          <w:szCs w:val="22"/>
          <w:lang w:val="en-US" w:eastAsia="en-US" w:bidi="ar-SA"/>
        </w:rPr>
        <w:t>IPG</w:t>
      </w:r>
      <w:r>
        <w:rPr>
          <w:rFonts w:hint="eastAsia" w:ascii="微软雅黑" w:hAnsi="微软雅黑" w:eastAsia="微软雅黑" w:cs="微软雅黑"/>
          <w:b/>
          <w:color w:val="0000FF"/>
          <w:spacing w:val="-8"/>
          <w:sz w:val="28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b/>
          <w:color w:val="0000FF"/>
          <w:sz w:val="28"/>
          <w:szCs w:val="22"/>
          <w:lang w:val="en-US" w:eastAsia="en-US" w:bidi="ar-SA"/>
        </w:rPr>
        <w:t>温馨提示</w:t>
      </w:r>
      <w:r>
        <w:rPr>
          <w:rFonts w:hint="eastAsia" w:ascii="微软雅黑" w:hAnsi="微软雅黑" w:eastAsia="微软雅黑" w:cs="微软雅黑"/>
          <w:b/>
          <w:color w:val="0000FF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b/>
          <w:color w:val="0000FF"/>
          <w:sz w:val="28"/>
          <w:szCs w:val="22"/>
          <w:lang w:val="en-US" w:eastAsia="en-US" w:bidi="ar-SA"/>
        </w:rPr>
        <w:t>–</w:t>
      </w:r>
      <w:r>
        <w:rPr>
          <w:rFonts w:hint="eastAsia" w:ascii="微软雅黑" w:hAnsi="微软雅黑" w:eastAsia="微软雅黑" w:cs="微软雅黑"/>
          <w:b/>
          <w:color w:val="0000FF"/>
          <w:spacing w:val="69"/>
          <w:sz w:val="28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b/>
          <w:color w:val="0000FF"/>
          <w:sz w:val="28"/>
          <w:szCs w:val="22"/>
          <w:lang w:val="en-US" w:eastAsia="en-US" w:bidi="ar-SA"/>
        </w:rPr>
        <w:t>预防结露</w:t>
      </w:r>
    </w:p>
    <w:p>
      <w:pPr>
        <w:framePr w:w="5590" w:wrap="around" w:vAnchor="margin" w:hAnchor="text" w:x="1983" w:y="1991"/>
        <w:widowControl w:val="0"/>
        <w:autoSpaceDE w:val="0"/>
        <w:autoSpaceDN w:val="0"/>
        <w:spacing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夏季到来，高温高湿的环境下，一定要注意预防激光器结露。</w:t>
      </w:r>
    </w:p>
    <w:p>
      <w:pPr>
        <w:framePr w:w="10098" w:wrap="around" w:vAnchor="margin" w:hAnchor="text" w:x="1983" w:y="2303"/>
        <w:widowControl w:val="0"/>
        <w:autoSpaceDE w:val="0"/>
        <w:autoSpaceDN w:val="0"/>
        <w:spacing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当激光器冷却水温度设置低于下表中对应的结露点温度时，会发生结露现象。</w:t>
      </w:r>
    </w:p>
    <w:p>
      <w:pPr>
        <w:framePr w:w="10098" w:wrap="around" w:vAnchor="margin" w:hAnchor="text" w:x="1983" w:y="2303"/>
        <w:widowControl w:val="0"/>
        <w:autoSpaceDE w:val="0"/>
        <w:autoSpaceDN w:val="0"/>
        <w:spacing w:before="74"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因此需要按照现场（机柜）实际的温湿度环境，设定冷却水温度，确保激光器冷却水的温度设定高于对应的结</w:t>
      </w:r>
    </w:p>
    <w:p>
      <w:pPr>
        <w:framePr w:w="10098" w:wrap="around" w:vAnchor="margin" w:hAnchor="text" w:x="1983" w:y="2303"/>
        <w:widowControl w:val="0"/>
        <w:autoSpaceDE w:val="0"/>
        <w:autoSpaceDN w:val="0"/>
        <w:spacing w:before="74"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露点温度。同时满足激光器的水温要求（本体温度：</w:t>
      </w: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21-25</w:t>
      </w: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℃）及制冷需求，否则，可能造成激光器出现高温报</w:t>
      </w:r>
    </w:p>
    <w:p>
      <w:pPr>
        <w:framePr w:w="10098" w:wrap="around" w:vAnchor="margin" w:hAnchor="text" w:x="1983" w:y="2303"/>
        <w:widowControl w:val="0"/>
        <w:autoSpaceDE w:val="0"/>
        <w:autoSpaceDN w:val="0"/>
        <w:spacing w:before="74"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警。</w:t>
      </w:r>
    </w:p>
    <w:p>
      <w:pPr>
        <w:framePr w:w="990" w:wrap="around" w:vAnchor="margin" w:hAnchor="text" w:x="6018" w:y="6359"/>
        <w:widowControl w:val="0"/>
        <w:autoSpaceDE w:val="0"/>
        <w:autoSpaceDN w:val="0"/>
        <w:spacing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结露点表</w:t>
      </w:r>
    </w:p>
    <w:p>
      <w:pPr>
        <w:framePr w:w="4554" w:wrap="around" w:vAnchor="margin" w:hAnchor="text" w:x="1985" w:y="6703"/>
        <w:widowControl w:val="0"/>
        <w:autoSpaceDE w:val="0"/>
        <w:autoSpaceDN w:val="0"/>
        <w:spacing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针对于上表中的不同区域，需要采取的措施如下：</w:t>
      </w:r>
    </w:p>
    <w:p>
      <w:pPr>
        <w:framePr w:w="1122" w:wrap="around" w:vAnchor="margin" w:hAnchor="text" w:x="2206" w:y="7123"/>
        <w:widowControl w:val="0"/>
        <w:autoSpaceDE w:val="0"/>
        <w:autoSpaceDN w:val="0"/>
        <w:spacing w:line="238" w:lineRule="exact"/>
        <w:ind w:left="492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区域</w:t>
      </w:r>
    </w:p>
    <w:p>
      <w:pPr>
        <w:framePr w:w="1122" w:wrap="around" w:vAnchor="margin" w:hAnchor="text" w:x="2206" w:y="7123"/>
        <w:widowControl w:val="0"/>
        <w:autoSpaceDE w:val="0"/>
        <w:autoSpaceDN w:val="0"/>
        <w:spacing w:before="259"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白色区域</w:t>
      </w:r>
    </w:p>
    <w:p>
      <w:pPr>
        <w:framePr w:w="630" w:wrap="around" w:vAnchor="margin" w:hAnchor="text" w:x="4611" w:y="7123"/>
        <w:widowControl w:val="0"/>
        <w:autoSpaceDE w:val="0"/>
        <w:autoSpaceDN w:val="0"/>
        <w:spacing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描述</w:t>
      </w:r>
    </w:p>
    <w:p>
      <w:pPr>
        <w:framePr w:w="630" w:wrap="around" w:vAnchor="margin" w:hAnchor="text" w:x="8498" w:y="7123"/>
        <w:widowControl w:val="0"/>
        <w:autoSpaceDE w:val="0"/>
        <w:autoSpaceDN w:val="0"/>
        <w:spacing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措施</w:t>
      </w:r>
    </w:p>
    <w:p>
      <w:pPr>
        <w:framePr w:w="2260" w:wrap="around" w:vAnchor="margin" w:hAnchor="text" w:x="3767" w:y="7624"/>
        <w:widowControl w:val="0"/>
        <w:autoSpaceDE w:val="0"/>
        <w:autoSpaceDN w:val="0"/>
        <w:spacing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结露点温度</w:t>
      </w: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&lt;20</w:t>
      </w: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℃，属于</w:t>
      </w:r>
    </w:p>
    <w:p>
      <w:pPr>
        <w:framePr w:w="5181" w:wrap="around" w:vAnchor="margin" w:hAnchor="text" w:x="6035" w:y="7781"/>
        <w:widowControl w:val="0"/>
        <w:autoSpaceDE w:val="0"/>
        <w:autoSpaceDN w:val="0"/>
        <w:spacing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按照要求设置正常冷却水温度即可，水温范围</w:t>
      </w:r>
      <w:r>
        <w:rPr>
          <w:rFonts w:hint="eastAsia" w:ascii="微软雅黑" w:hAnsi="微软雅黑" w:eastAsia="微软雅黑" w:cs="微软雅黑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21-25</w:t>
      </w: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℃。</w:t>
      </w:r>
    </w:p>
    <w:p>
      <w:pPr>
        <w:framePr w:w="990" w:wrap="around" w:vAnchor="margin" w:hAnchor="text" w:x="3767" w:y="7937"/>
        <w:widowControl w:val="0"/>
        <w:autoSpaceDE w:val="0"/>
        <w:autoSpaceDN w:val="0"/>
        <w:spacing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安全范围</w:t>
      </w:r>
    </w:p>
    <w:p>
      <w:pPr>
        <w:framePr w:w="990" w:wrap="around" w:vAnchor="margin" w:hAnchor="text" w:x="2206" w:y="8054"/>
        <w:widowControl w:val="0"/>
        <w:autoSpaceDE w:val="0"/>
        <w:autoSpaceDN w:val="0"/>
        <w:spacing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绿色区域</w:t>
      </w:r>
    </w:p>
    <w:p>
      <w:pPr>
        <w:framePr w:w="6004" w:wrap="around" w:vAnchor="margin" w:hAnchor="text" w:x="6035" w:y="8376"/>
        <w:widowControl w:val="0"/>
        <w:autoSpaceDE w:val="0"/>
        <w:autoSpaceDN w:val="0"/>
        <w:spacing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如果冷却水温度设置接近结露点温度，可以适当调高水温，避免结</w:t>
      </w:r>
    </w:p>
    <w:p>
      <w:pPr>
        <w:framePr w:w="6004" w:wrap="around" w:vAnchor="margin" w:hAnchor="text" w:x="6035" w:y="8376"/>
        <w:widowControl w:val="0"/>
        <w:autoSpaceDE w:val="0"/>
        <w:autoSpaceDN w:val="0"/>
        <w:spacing w:before="74"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露。如果环境温湿度还有进一步升高的可能，则需要按照红色区域</w:t>
      </w:r>
    </w:p>
    <w:p>
      <w:pPr>
        <w:framePr w:w="6004" w:wrap="around" w:vAnchor="margin" w:hAnchor="text" w:x="6035" w:y="8376"/>
        <w:widowControl w:val="0"/>
        <w:autoSpaceDE w:val="0"/>
        <w:autoSpaceDN w:val="0"/>
        <w:spacing w:before="74"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要求采取措施。</w:t>
      </w:r>
    </w:p>
    <w:p>
      <w:pPr>
        <w:framePr w:w="2194" w:wrap="around" w:vAnchor="margin" w:hAnchor="text" w:x="3767" w:y="8532"/>
        <w:widowControl w:val="0"/>
        <w:autoSpaceDE w:val="0"/>
        <w:autoSpaceDN w:val="0"/>
        <w:spacing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结露点温度在</w:t>
      </w:r>
      <w:r>
        <w:rPr>
          <w:rFonts w:hint="eastAsia" w:ascii="微软雅黑" w:hAnsi="微软雅黑" w:eastAsia="微软雅黑" w:cs="微软雅黑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20</w:t>
      </w: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～</w:t>
      </w: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25</w:t>
      </w: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℃</w:t>
      </w:r>
    </w:p>
    <w:p>
      <w:pPr>
        <w:framePr w:w="990" w:wrap="around" w:vAnchor="margin" w:hAnchor="text" w:x="2206" w:y="8688"/>
        <w:widowControl w:val="0"/>
        <w:autoSpaceDE w:val="0"/>
        <w:autoSpaceDN w:val="0"/>
        <w:spacing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黄色区域</w:t>
      </w:r>
    </w:p>
    <w:p>
      <w:pPr>
        <w:framePr w:w="1890" w:wrap="around" w:vAnchor="margin" w:hAnchor="text" w:x="3767" w:y="8844"/>
        <w:widowControl w:val="0"/>
        <w:autoSpaceDE w:val="0"/>
        <w:autoSpaceDN w:val="0"/>
        <w:spacing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之间，属于危险区域</w:t>
      </w:r>
    </w:p>
    <w:p>
      <w:pPr>
        <w:framePr w:w="376" w:wrap="around" w:vAnchor="margin" w:hAnchor="text" w:x="6035" w:y="9324"/>
        <w:widowControl w:val="0"/>
        <w:autoSpaceDE w:val="0"/>
        <w:autoSpaceDN w:val="0"/>
        <w:spacing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1</w:t>
      </w:r>
    </w:p>
    <w:p>
      <w:pPr>
        <w:framePr w:w="6072" w:wrap="around" w:vAnchor="margin" w:hAnchor="text" w:x="6035" w:y="9324"/>
        <w:widowControl w:val="0"/>
        <w:autoSpaceDE w:val="0"/>
        <w:autoSpaceDN w:val="0"/>
        <w:spacing w:line="238" w:lineRule="exact"/>
        <w:ind w:left="105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.</w:t>
      </w:r>
      <w:r>
        <w:rPr>
          <w:rFonts w:hint="eastAsia" w:ascii="微软雅黑" w:hAnsi="微软雅黑" w:eastAsia="微软雅黑" w:cs="微软雅黑"/>
          <w:color w:val="000000"/>
          <w:spacing w:val="36"/>
          <w:sz w:val="18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如果水冷机的制冷量和流量有足够冗余的情况下，可以酌情将水</w:t>
      </w:r>
    </w:p>
    <w:p>
      <w:pPr>
        <w:framePr w:w="6072" w:wrap="around" w:vAnchor="margin" w:hAnchor="text" w:x="6035" w:y="9324"/>
        <w:widowControl w:val="0"/>
        <w:autoSpaceDE w:val="0"/>
        <w:autoSpaceDN w:val="0"/>
        <w:spacing w:before="74"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温调高</w:t>
      </w:r>
      <w:r>
        <w:rPr>
          <w:rFonts w:hint="eastAsia" w:ascii="微软雅黑" w:hAnsi="微软雅黑" w:eastAsia="微软雅黑" w:cs="微软雅黑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1-2</w:t>
      </w: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℃左右，此措置简单易行，但是效果有限。</w:t>
      </w:r>
    </w:p>
    <w:p>
      <w:pPr>
        <w:framePr w:w="6072" w:wrap="around" w:vAnchor="margin" w:hAnchor="text" w:x="6035" w:y="9324"/>
        <w:widowControl w:val="0"/>
        <w:autoSpaceDE w:val="0"/>
        <w:autoSpaceDN w:val="0"/>
        <w:spacing w:before="74" w:line="238" w:lineRule="exact"/>
        <w:ind w:left="105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.</w:t>
      </w:r>
      <w:r>
        <w:rPr>
          <w:rFonts w:hint="eastAsia" w:ascii="微软雅黑" w:hAnsi="微软雅黑" w:eastAsia="微软雅黑" w:cs="微软雅黑"/>
          <w:color w:val="000000"/>
          <w:spacing w:val="36"/>
          <w:sz w:val="18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机柜采用密封设计，并外挂工业空调来控制机柜内部的温度和湿</w:t>
      </w:r>
    </w:p>
    <w:p>
      <w:pPr>
        <w:framePr w:w="376" w:wrap="around" w:vAnchor="margin" w:hAnchor="text" w:x="6035" w:y="9948"/>
        <w:widowControl w:val="0"/>
        <w:autoSpaceDE w:val="0"/>
        <w:autoSpaceDN w:val="0"/>
        <w:spacing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2</w:t>
      </w:r>
    </w:p>
    <w:p>
      <w:pPr>
        <w:framePr w:w="2277" w:wrap="around" w:vAnchor="margin" w:hAnchor="text" w:x="3767" w:y="10104"/>
        <w:widowControl w:val="0"/>
        <w:autoSpaceDE w:val="0"/>
        <w:autoSpaceDN w:val="0"/>
        <w:spacing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结露点温度</w:t>
      </w: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&gt;25</w:t>
      </w: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℃，一定</w:t>
      </w:r>
    </w:p>
    <w:p>
      <w:pPr>
        <w:framePr w:w="2277" w:wrap="around" w:vAnchor="margin" w:hAnchor="text" w:x="3767" w:y="10104"/>
        <w:widowControl w:val="0"/>
        <w:autoSpaceDE w:val="0"/>
        <w:autoSpaceDN w:val="0"/>
        <w:spacing w:before="74"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会产生结露，使用前必须</w:t>
      </w:r>
    </w:p>
    <w:p>
      <w:pPr>
        <w:framePr w:w="2277" w:wrap="around" w:vAnchor="margin" w:hAnchor="text" w:x="3767" w:y="10104"/>
        <w:widowControl w:val="0"/>
        <w:autoSpaceDE w:val="0"/>
        <w:autoSpaceDN w:val="0"/>
        <w:spacing w:before="74"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采取措施</w:t>
      </w:r>
    </w:p>
    <w:p>
      <w:pPr>
        <w:framePr w:w="6004" w:wrap="around" w:vAnchor="margin" w:hAnchor="text" w:x="6035" w:y="10260"/>
        <w:widowControl w:val="0"/>
        <w:autoSpaceDE w:val="0"/>
        <w:autoSpaceDN w:val="0"/>
        <w:spacing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度，相当于激光器工作在一个恒温恒湿的隔离空间内，可以有效避</w:t>
      </w:r>
    </w:p>
    <w:p>
      <w:pPr>
        <w:framePr w:w="6004" w:wrap="around" w:vAnchor="margin" w:hAnchor="text" w:x="6035" w:y="10260"/>
        <w:widowControl w:val="0"/>
        <w:autoSpaceDE w:val="0"/>
        <w:autoSpaceDN w:val="0"/>
        <w:spacing w:before="74"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免结露。</w:t>
      </w:r>
    </w:p>
    <w:p>
      <w:pPr>
        <w:framePr w:w="990" w:wrap="around" w:vAnchor="margin" w:hAnchor="text" w:x="2206" w:y="10416"/>
        <w:widowControl w:val="0"/>
        <w:autoSpaceDE w:val="0"/>
        <w:autoSpaceDN w:val="0"/>
        <w:spacing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红色区域</w:t>
      </w:r>
    </w:p>
    <w:p>
      <w:pPr>
        <w:framePr w:w="990" w:wrap="around" w:vAnchor="margin" w:hAnchor="text" w:x="2206" w:y="10416"/>
        <w:widowControl w:val="0"/>
        <w:autoSpaceDE w:val="0"/>
        <w:autoSpaceDN w:val="0"/>
        <w:spacing w:before="1177"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备注：</w:t>
      </w:r>
    </w:p>
    <w:p>
      <w:pPr>
        <w:framePr w:w="6072" w:wrap="around" w:vAnchor="margin" w:hAnchor="text" w:x="6035" w:y="10884"/>
        <w:widowControl w:val="0"/>
        <w:autoSpaceDE w:val="0"/>
        <w:autoSpaceDN w:val="0"/>
        <w:spacing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3.</w:t>
      </w:r>
      <w:r>
        <w:rPr>
          <w:rFonts w:hint="eastAsia" w:ascii="微软雅黑" w:hAnsi="微软雅黑" w:eastAsia="微软雅黑" w:cs="微软雅黑"/>
          <w:color w:val="000000"/>
          <w:spacing w:val="36"/>
          <w:sz w:val="18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在安装现场，如果空间和成本允许的情况下，可考虑建造一间小</w:t>
      </w:r>
    </w:p>
    <w:p>
      <w:pPr>
        <w:framePr w:w="6003" w:wrap="around" w:vAnchor="margin" w:hAnchor="text" w:x="6035" w:y="11196"/>
        <w:widowControl w:val="0"/>
        <w:autoSpaceDE w:val="0"/>
        <w:autoSpaceDN w:val="0"/>
        <w:spacing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的空调房。激光器和机柜工作在这个隔离间内也可非常有效地避免</w:t>
      </w:r>
    </w:p>
    <w:p>
      <w:pPr>
        <w:framePr w:w="6003" w:wrap="around" w:vAnchor="margin" w:hAnchor="text" w:x="6035" w:y="11196"/>
        <w:widowControl w:val="0"/>
        <w:autoSpaceDE w:val="0"/>
        <w:autoSpaceDN w:val="0"/>
        <w:spacing w:before="74"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结露。</w:t>
      </w:r>
    </w:p>
    <w:p>
      <w:pPr>
        <w:framePr w:w="376" w:wrap="around" w:vAnchor="margin" w:hAnchor="text" w:x="2206" w:y="12142"/>
        <w:widowControl w:val="0"/>
        <w:autoSpaceDE w:val="0"/>
        <w:autoSpaceDN w:val="0"/>
        <w:spacing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1</w:t>
      </w:r>
    </w:p>
    <w:p>
      <w:pPr>
        <w:framePr w:w="10310" w:wrap="around" w:vAnchor="margin" w:hAnchor="text" w:x="2206" w:y="12142"/>
        <w:widowControl w:val="0"/>
        <w:autoSpaceDE w:val="0"/>
        <w:autoSpaceDN w:val="0"/>
        <w:spacing w:line="238" w:lineRule="exact"/>
        <w:ind w:left="105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.</w:t>
      </w:r>
      <w:r>
        <w:rPr>
          <w:rFonts w:hint="eastAsia" w:ascii="微软雅黑" w:hAnsi="微软雅黑" w:eastAsia="微软雅黑" w:cs="微软雅黑"/>
          <w:color w:val="000000"/>
          <w:spacing w:val="36"/>
          <w:sz w:val="18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上表冷却水温度设定指激光器本体水温设置。外部光路（</w:t>
      </w: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QBH</w:t>
      </w:r>
      <w:r>
        <w:rPr>
          <w:rFonts w:hint="eastAsia" w:ascii="微软雅黑" w:hAnsi="微软雅黑" w:eastAsia="微软雅黑" w:cs="微软雅黑"/>
          <w:color w:val="000000"/>
          <w:spacing w:val="-8"/>
          <w:sz w:val="18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接口）的冷却对水温的要求相对更宽松，可以适</w:t>
      </w:r>
    </w:p>
    <w:p>
      <w:pPr>
        <w:framePr w:w="10310" w:wrap="around" w:vAnchor="margin" w:hAnchor="text" w:x="2206" w:y="12142"/>
        <w:widowControl w:val="0"/>
        <w:autoSpaceDE w:val="0"/>
        <w:autoSpaceDN w:val="0"/>
        <w:spacing w:before="74"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当调高水温使之高于结露点，但不宜高于</w:t>
      </w:r>
      <w:r>
        <w:rPr>
          <w:rFonts w:hint="eastAsia" w:ascii="微软雅黑" w:hAnsi="微软雅黑" w:eastAsia="微软雅黑" w:cs="微软雅黑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30</w:t>
      </w: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℃。</w:t>
      </w:r>
    </w:p>
    <w:p>
      <w:pPr>
        <w:framePr w:w="10310" w:wrap="around" w:vAnchor="margin" w:hAnchor="text" w:x="2206" w:y="12142"/>
        <w:widowControl w:val="0"/>
        <w:autoSpaceDE w:val="0"/>
        <w:autoSpaceDN w:val="0"/>
        <w:spacing w:before="74" w:line="238" w:lineRule="exact"/>
        <w:ind w:left="105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.</w:t>
      </w:r>
      <w:r>
        <w:rPr>
          <w:rFonts w:hint="eastAsia" w:ascii="微软雅黑" w:hAnsi="微软雅黑" w:eastAsia="微软雅黑" w:cs="微软雅黑"/>
          <w:color w:val="000000"/>
          <w:spacing w:val="36"/>
          <w:sz w:val="18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设备停用时，激光器应当断开交流电源，水冷机应当关闭。</w:t>
      </w:r>
    </w:p>
    <w:p>
      <w:pPr>
        <w:framePr w:w="376" w:wrap="around" w:vAnchor="margin" w:hAnchor="text" w:x="2206" w:y="12766"/>
        <w:widowControl w:val="0"/>
        <w:autoSpaceDE w:val="0"/>
        <w:autoSpaceDN w:val="0"/>
        <w:spacing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2</w:t>
      </w:r>
    </w:p>
    <w:p>
      <w:pPr>
        <w:framePr w:w="7128" w:wrap="around" w:vAnchor="margin" w:hAnchor="text" w:x="1985" w:y="13491"/>
        <w:widowControl w:val="0"/>
        <w:autoSpaceDE w:val="0"/>
        <w:autoSpaceDN w:val="0"/>
        <w:spacing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更加详细的内容和建议请参照文件《中功率激光器使用建议</w:t>
      </w:r>
      <w:r>
        <w:rPr>
          <w:rFonts w:hint="eastAsia" w:ascii="微软雅黑" w:hAnsi="微软雅黑" w:eastAsia="微软雅黑" w:cs="微软雅黑"/>
          <w:color w:val="000000"/>
          <w:spacing w:val="1"/>
          <w:sz w:val="18"/>
          <w:szCs w:val="22"/>
          <w:lang w:val="en-US" w:eastAsia="en-US" w:bidi="ar-SA"/>
        </w:rPr>
        <w:t>-</w:t>
      </w: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夏季预防结露</w:t>
      </w:r>
      <w:r>
        <w:rPr>
          <w:rFonts w:hint="eastAsia" w:ascii="微软雅黑" w:hAnsi="微软雅黑" w:eastAsia="微软雅黑" w:cs="微软雅黑"/>
          <w:color w:val="000000"/>
          <w:spacing w:val="-91"/>
          <w:sz w:val="18"/>
          <w:szCs w:val="22"/>
          <w:lang w:val="en-US" w:eastAsia="en-US" w:bidi="ar-SA"/>
        </w:rPr>
        <w:t>》</w:t>
      </w:r>
      <w:r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  <w:t>。</w:t>
      </w:r>
    </w:p>
    <w:p>
      <w:pPr>
        <w:framePr w:w="1113" w:wrap="around" w:vAnchor="margin" w:hAnchor="text" w:x="1152" w:y="15672"/>
        <w:widowControl w:val="0"/>
        <w:autoSpaceDE w:val="0"/>
        <w:autoSpaceDN w:val="0"/>
        <w:spacing w:line="236" w:lineRule="exact"/>
        <w:rPr>
          <w:rFonts w:hint="eastAsia" w:ascii="微软雅黑" w:hAnsi="微软雅黑" w:eastAsia="微软雅黑" w:cs="微软雅黑"/>
          <w:color w:val="000000"/>
          <w:sz w:val="21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2"/>
          <w:lang w:val="en-US" w:eastAsia="en-US" w:bidi="ar-SA"/>
        </w:rPr>
        <w:t>Summer</w:t>
      </w:r>
    </w:p>
    <w:p>
      <w:pPr>
        <w:framePr w:w="689" w:wrap="around" w:vAnchor="margin" w:hAnchor="text" w:x="6040" w:y="15683"/>
        <w:widowControl w:val="0"/>
        <w:autoSpaceDE w:val="0"/>
        <w:autoSpaceDN w:val="0"/>
        <w:spacing w:line="223" w:lineRule="exact"/>
        <w:rPr>
          <w:rFonts w:hint="eastAsia" w:ascii="微软雅黑" w:hAnsi="微软雅黑" w:eastAsia="微软雅黑" w:cs="微软雅黑"/>
          <w:b/>
          <w:color w:val="000000"/>
          <w:sz w:val="20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b/>
          <w:color w:val="000000"/>
          <w:sz w:val="20"/>
          <w:szCs w:val="22"/>
          <w:lang w:val="en-US" w:eastAsia="en-US" w:bidi="ar-SA"/>
        </w:rPr>
        <w:t>1</w:t>
      </w:r>
      <w:r>
        <w:rPr>
          <w:rFonts w:hint="eastAsia" w:ascii="微软雅黑" w:hAnsi="微软雅黑" w:eastAsia="微软雅黑" w:cs="微软雅黑"/>
          <w:b/>
          <w:color w:val="000000"/>
          <w:spacing w:val="-1"/>
          <w:sz w:val="20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0"/>
          <w:szCs w:val="22"/>
          <w:lang w:val="en-US" w:eastAsia="en-US" w:bidi="ar-SA"/>
        </w:rPr>
        <w:t>/</w:t>
      </w:r>
      <w:r>
        <w:rPr>
          <w:rFonts w:hint="eastAsia" w:ascii="微软雅黑" w:hAnsi="微软雅黑" w:eastAsia="微软雅黑" w:cs="微软雅黑"/>
          <w:color w:val="000000"/>
          <w:spacing w:val="2"/>
          <w:sz w:val="20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b/>
          <w:color w:val="000000"/>
          <w:sz w:val="20"/>
          <w:szCs w:val="22"/>
          <w:lang w:val="en-US" w:eastAsia="en-US" w:bidi="ar-SA"/>
        </w:rPr>
        <w:t>1</w:t>
      </w:r>
    </w:p>
    <w:p>
      <w:pPr>
        <w:framePr w:w="1078" w:wrap="around" w:vAnchor="margin" w:hAnchor="text" w:x="9993" w:y="15672"/>
        <w:widowControl w:val="0"/>
        <w:autoSpaceDE w:val="0"/>
        <w:autoSpaceDN w:val="0"/>
        <w:spacing w:line="236" w:lineRule="exact"/>
        <w:rPr>
          <w:rFonts w:hint="eastAsia" w:ascii="微软雅黑" w:hAnsi="微软雅黑" w:eastAsia="微软雅黑" w:cs="微软雅黑"/>
          <w:color w:val="000000"/>
          <w:sz w:val="21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00"/>
          <w:spacing w:val="1"/>
          <w:sz w:val="21"/>
          <w:szCs w:val="22"/>
          <w:lang w:val="en-US" w:eastAsia="en-US" w:bidi="ar-SA"/>
        </w:rPr>
        <w:t>201</w:t>
      </w:r>
      <w:r>
        <w:rPr>
          <w:rFonts w:hint="eastAsia" w:ascii="微软雅黑" w:hAnsi="微软雅黑" w:eastAsia="微软雅黑" w:cs="微软雅黑"/>
          <w:color w:val="000000"/>
          <w:spacing w:val="1"/>
          <w:sz w:val="21"/>
          <w:szCs w:val="22"/>
          <w:lang w:val="en-US" w:eastAsia="zh-CN" w:bidi="ar-SA"/>
        </w:rPr>
        <w:t>9</w:t>
      </w:r>
      <w:r>
        <w:rPr>
          <w:rFonts w:hint="eastAsia" w:ascii="微软雅黑" w:hAnsi="微软雅黑" w:eastAsia="微软雅黑" w:cs="微软雅黑"/>
          <w:color w:val="000000"/>
          <w:spacing w:val="1"/>
          <w:sz w:val="21"/>
          <w:szCs w:val="22"/>
          <w:lang w:val="en-US" w:eastAsia="en-US" w:bidi="ar-SA"/>
        </w:rPr>
        <w:t>.0</w:t>
      </w:r>
      <w:r>
        <w:rPr>
          <w:rFonts w:hint="eastAsia" w:ascii="微软雅黑" w:hAnsi="微软雅黑" w:eastAsia="微软雅黑" w:cs="微软雅黑"/>
          <w:color w:val="000000"/>
          <w:spacing w:val="1"/>
          <w:sz w:val="21"/>
          <w:szCs w:val="22"/>
          <w:lang w:val="en-US" w:eastAsia="zh-CN" w:bidi="ar-SA"/>
        </w:rPr>
        <w:t>8</w:t>
      </w:r>
    </w:p>
    <w:p>
      <w:pPr>
        <w:framePr w:w="9108" w:wrap="around" w:vAnchor="margin" w:hAnchor="text" w:x="1841" w:y="15915"/>
        <w:widowControl w:val="0"/>
        <w:autoSpaceDE w:val="0"/>
        <w:autoSpaceDN w:val="0"/>
        <w:spacing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7F7F7F"/>
          <w:sz w:val="18"/>
          <w:szCs w:val="22"/>
          <w:lang w:val="en-US" w:eastAsia="en-US" w:bidi="ar-SA"/>
        </w:rPr>
        <w:t>本文仅供相关专业人士参考，使用前请务必仔细阅读产品的用户手册和技术规格书。如遇有内容有错</w:t>
      </w:r>
    </w:p>
    <w:p>
      <w:pPr>
        <w:framePr w:w="9108" w:wrap="around" w:vAnchor="margin" w:hAnchor="text" w:x="1841" w:y="15915"/>
        <w:widowControl w:val="0"/>
        <w:autoSpaceDE w:val="0"/>
        <w:autoSpaceDN w:val="0"/>
        <w:spacing w:before="2" w:line="238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7F7F7F"/>
          <w:sz w:val="18"/>
          <w:szCs w:val="22"/>
          <w:lang w:val="en-US" w:eastAsia="en-US" w:bidi="ar-SA"/>
        </w:rPr>
        <w:t>误或冲突，请务必以用户手册或技术规格书为准！</w:t>
      </w: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  <w:bookmarkStart w:id="0" w:name="_GoBack"/>
      <w:r>
        <w:rPr>
          <w:rFonts w:hint="eastAsia" w:ascii="微软雅黑" w:hAnsi="微软雅黑" w:eastAsia="微软雅黑" w:cs="微软雅黑"/>
        </w:rPr>
        <w:pict>
          <v:shape id="_x0000_s1025" o:spid="_x0000_s1025" o:spt="75" type="#_x0000_t75" style="position:absolute;left:0pt;margin-left:-1pt;margin-top:-1pt;height:843.8pt;width:597pt;mso-position-horizontal-relative:page;mso-position-vertical-relative:page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bookmarkEnd w:id="0"/>
    </w:p>
    <w:sectPr>
      <w:pgSz w:w="11900" w:h="1684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LDNEUS+å¾®è½¯é�»,Bold">
    <w:altName w:val="Segoe Print"/>
    <w:panose1 w:val="020B0703020204020201"/>
    <w:charset w:val="01"/>
    <w:family w:val="swiss"/>
    <w:pitch w:val="default"/>
    <w:sig w:usb0="00000000" w:usb1="00000000" w:usb2="01010101" w:usb3="01010101" w:csb0="01010101" w:csb1="01010101"/>
  </w:font>
  <w:font w:name="CASPSF+å¾®è½¯é�»">
    <w:altName w:val="Corbel"/>
    <w:panose1 w:val="020B0503020204020204"/>
    <w:charset w:val="01"/>
    <w:family w:val="swiss"/>
    <w:pitch w:val="default"/>
    <w:sig w:usb0="00000000" w:usb1="00000000" w:usb2="01010101" w:usb3="01010101" w:csb0="01010101" w:csb1="01010101"/>
  </w:font>
  <w:font w:name="CFELKC+å¾®è½¯é�»">
    <w:altName w:val="Corbel"/>
    <w:panose1 w:val="020B0503020204020204"/>
    <w:charset w:val="01"/>
    <w:family w:val="swiss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1"/>
    <w:family w:val="swiss"/>
    <w:pitch w:val="default"/>
    <w:sig w:usb0="0000028F" w:usb1="00000000" w:usb2="00000000" w:usb3="00000000" w:csb0="2000009F" w:csb1="4701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bel">
    <w:panose1 w:val="020B0503020204020204"/>
    <w:charset w:val="01"/>
    <w:family w:val="swiss"/>
    <w:pitch w:val="default"/>
    <w:sig w:usb0="A00002EF" w:usb1="4000A44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529479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2019-08-06T08:46:23Z</dcterms:created>
  <dc:creator>Administrator</dc:creator>
  <cp:lastModifiedBy>百度客服-孙晓雪</cp:lastModifiedBy>
  <dcterms:modified xsi:type="dcterms:W3CDTF">2019-08-06T08:47:15Z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